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2FD" w:rsidRDefault="00F352FD" w:rsidP="00F352FD">
      <w:pPr>
        <w:tabs>
          <w:tab w:val="left" w:pos="567"/>
        </w:tabs>
        <w:spacing w:before="0" w:after="0"/>
        <w:ind w:firstLine="261"/>
        <w:jc w:val="right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Приложение №10</w:t>
      </w:r>
    </w:p>
    <w:p w:rsidR="00F352FD" w:rsidRDefault="00F352FD" w:rsidP="00F352FD">
      <w:pPr>
        <w:tabs>
          <w:tab w:val="left" w:pos="567"/>
        </w:tabs>
        <w:spacing w:before="0" w:after="0"/>
        <w:ind w:firstLine="261"/>
        <w:jc w:val="right"/>
        <w:rPr>
          <w:rFonts w:ascii="Times New Roman" w:hAnsi="Times New Roman" w:cs="Times New Roman"/>
          <w:color w:val="1D1B11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EE10EF">
        <w:rPr>
          <w:rFonts w:ascii="Times New Roman" w:hAnsi="Times New Roman" w:cs="Times New Roman"/>
          <w:sz w:val="24"/>
          <w:szCs w:val="24"/>
        </w:rPr>
        <w:t>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EE10EF">
        <w:rPr>
          <w:rFonts w:ascii="Times New Roman" w:hAnsi="Times New Roman" w:cs="Times New Roman"/>
          <w:sz w:val="24"/>
          <w:szCs w:val="24"/>
        </w:rPr>
        <w:t>«__» декабря 2015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район», в лице Главы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Пляскина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Дмитрия Анатольевича,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proofErr w:type="spellStart"/>
      <w:r w:rsidR="002C666D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="002C666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2C666D">
        <w:rPr>
          <w:rFonts w:ascii="Times New Roman" w:hAnsi="Times New Roman" w:cs="Times New Roman"/>
          <w:sz w:val="24"/>
          <w:szCs w:val="24"/>
        </w:rPr>
        <w:t>Теленгуйское</w:t>
      </w:r>
      <w:proofErr w:type="spellEnd"/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C666D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="002C666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2C666D">
        <w:rPr>
          <w:rFonts w:ascii="Times New Roman" w:hAnsi="Times New Roman" w:cs="Times New Roman"/>
          <w:sz w:val="24"/>
          <w:szCs w:val="24"/>
        </w:rPr>
        <w:t>Теленгуйское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2C666D">
        <w:rPr>
          <w:rFonts w:ascii="Times New Roman" w:hAnsi="Times New Roman" w:cs="Times New Roman"/>
          <w:sz w:val="24"/>
          <w:szCs w:val="24"/>
        </w:rPr>
        <w:t>Соколова Александра Николаевича</w:t>
      </w:r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2C666D">
        <w:rPr>
          <w:rFonts w:ascii="Times New Roman" w:hAnsi="Times New Roman" w:cs="Times New Roman"/>
          <w:sz w:val="24"/>
          <w:szCs w:val="24"/>
        </w:rPr>
        <w:t>го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настоящее Соглашение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D86AE6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</w:t>
      </w:r>
      <w:proofErr w:type="spellStart"/>
      <w:r w:rsidR="00D86AE6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D86AE6">
        <w:rPr>
          <w:rFonts w:ascii="Times New Roman" w:hAnsi="Times New Roman" w:cs="Times New Roman"/>
          <w:sz w:val="24"/>
          <w:szCs w:val="24"/>
        </w:rPr>
        <w:t xml:space="preserve">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</w:t>
      </w:r>
      <w:proofErr w:type="spellStart"/>
      <w:r w:rsidR="00D86AE6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="00D86AE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D86AE6">
        <w:rPr>
          <w:rFonts w:ascii="Times New Roman" w:hAnsi="Times New Roman" w:cs="Times New Roman"/>
          <w:sz w:val="24"/>
          <w:szCs w:val="24"/>
        </w:rPr>
        <w:t>Теленгуйское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>».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организаци</w:t>
      </w:r>
      <w:r w:rsidR="00991731">
        <w:rPr>
          <w:rFonts w:ascii="Times New Roman" w:hAnsi="Times New Roman" w:cs="Times New Roman"/>
          <w:sz w:val="24"/>
          <w:szCs w:val="24"/>
        </w:rPr>
        <w:t>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границах поселения тепл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дорожн</w:t>
      </w:r>
      <w:r w:rsidR="00991731">
        <w:rPr>
          <w:rFonts w:ascii="Times New Roman" w:hAnsi="Times New Roman" w:cs="Times New Roman"/>
          <w:sz w:val="24"/>
          <w:szCs w:val="24"/>
        </w:rPr>
        <w:t>ая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991731">
        <w:rPr>
          <w:rFonts w:ascii="Times New Roman" w:hAnsi="Times New Roman" w:cs="Times New Roman"/>
          <w:sz w:val="24"/>
          <w:szCs w:val="24"/>
        </w:rPr>
        <w:t>ь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17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сбора и вывоза бытовых отходов и мусора;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мест захоронения;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в пределах, установленных водным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лесного контроля;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поддержки социально ориентированным некоммерческим организациям в пределах полномочий, установленных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статьями 31.1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31.3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12 января 1996 года N 7-ФЗ "О некоммерческих организациях";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 xml:space="preserve">осуществлять текущий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D86AE6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D86AE6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D86AE6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  <w:proofErr w:type="gramEnd"/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полномочия в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="00AC004F" w:rsidRPr="00607C63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AC004F" w:rsidRPr="00607C63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D86AE6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, составляет </w:t>
      </w:r>
      <w:r w:rsidR="00716A76">
        <w:rPr>
          <w:rFonts w:ascii="Times New Roman" w:hAnsi="Times New Roman" w:cs="Times New Roman"/>
          <w:sz w:val="24"/>
          <w:szCs w:val="24"/>
        </w:rPr>
        <w:t xml:space="preserve">1152,4 тысяч </w:t>
      </w:r>
      <w:r w:rsidRPr="00D86AE6">
        <w:rPr>
          <w:rFonts w:ascii="Times New Roman" w:hAnsi="Times New Roman" w:cs="Times New Roman"/>
          <w:sz w:val="24"/>
          <w:szCs w:val="24"/>
        </w:rPr>
        <w:t>рублей.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BD4152" w:rsidRPr="00991731" w:rsidRDefault="00BD415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lastRenderedPageBreak/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EE10EF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EE10EF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6.1.1.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вступлении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в силу федерального закона, в соответствии с которым полномочие, указанное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4"/>
        <w:gridCol w:w="4773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___________ /Д.А. 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Пляскин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="002C666D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="002C666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2C666D">
              <w:rPr>
                <w:rFonts w:ascii="Times New Roman" w:hAnsi="Times New Roman" w:cs="Times New Roman"/>
                <w:sz w:val="24"/>
                <w:szCs w:val="24"/>
              </w:rPr>
              <w:t>Теленгуйское</w:t>
            </w:r>
            <w:proofErr w:type="spellEnd"/>
            <w:r w:rsidR="002C66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proofErr w:type="spellStart"/>
            <w:r w:rsidR="002C666D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="002C666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2C666D">
              <w:rPr>
                <w:rFonts w:ascii="Times New Roman" w:hAnsi="Times New Roman" w:cs="Times New Roman"/>
                <w:sz w:val="24"/>
                <w:szCs w:val="24"/>
              </w:rPr>
              <w:t>Теленгуйское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2C666D">
              <w:rPr>
                <w:rFonts w:ascii="Times New Roman" w:hAnsi="Times New Roman" w:cs="Times New Roman"/>
                <w:sz w:val="24"/>
                <w:szCs w:val="24"/>
              </w:rPr>
              <w:t>А.Н. Соколов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E868A9">
      <w:footerReference w:type="default" r:id="rId7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AEA" w:rsidRDefault="00483AEA" w:rsidP="00E868A9">
      <w:pPr>
        <w:spacing w:before="0" w:after="0"/>
      </w:pPr>
      <w:r>
        <w:separator/>
      </w:r>
    </w:p>
  </w:endnote>
  <w:endnote w:type="continuationSeparator" w:id="1">
    <w:p w:rsidR="00483AEA" w:rsidRDefault="00483AEA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FE7BCD">
        <w:pPr>
          <w:pStyle w:val="a8"/>
          <w:jc w:val="center"/>
        </w:pPr>
        <w:fldSimple w:instr=" PAGE   \* MERGEFORMAT ">
          <w:r w:rsidR="00BD4152">
            <w:rPr>
              <w:noProof/>
            </w:rPr>
            <w:t>5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AEA" w:rsidRDefault="00483AEA" w:rsidP="00E868A9">
      <w:pPr>
        <w:spacing w:before="0" w:after="0"/>
      </w:pPr>
      <w:r>
        <w:separator/>
      </w:r>
    </w:p>
  </w:footnote>
  <w:footnote w:type="continuationSeparator" w:id="1">
    <w:p w:rsidR="00483AEA" w:rsidRDefault="00483AEA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24955"/>
    <w:rsid w:val="00120D6B"/>
    <w:rsid w:val="00143648"/>
    <w:rsid w:val="00183D25"/>
    <w:rsid w:val="001C2B40"/>
    <w:rsid w:val="001E47B6"/>
    <w:rsid w:val="00226E66"/>
    <w:rsid w:val="002C666D"/>
    <w:rsid w:val="002E5DAC"/>
    <w:rsid w:val="00483AEA"/>
    <w:rsid w:val="00496063"/>
    <w:rsid w:val="004B4B5E"/>
    <w:rsid w:val="00575CF9"/>
    <w:rsid w:val="00607C63"/>
    <w:rsid w:val="00653501"/>
    <w:rsid w:val="006B4B36"/>
    <w:rsid w:val="00716A76"/>
    <w:rsid w:val="00725366"/>
    <w:rsid w:val="0073649A"/>
    <w:rsid w:val="00771075"/>
    <w:rsid w:val="00791DA7"/>
    <w:rsid w:val="007A6994"/>
    <w:rsid w:val="007C76AF"/>
    <w:rsid w:val="007F25D5"/>
    <w:rsid w:val="008377F9"/>
    <w:rsid w:val="00884792"/>
    <w:rsid w:val="00897C6A"/>
    <w:rsid w:val="008A46B5"/>
    <w:rsid w:val="008B4797"/>
    <w:rsid w:val="009315AC"/>
    <w:rsid w:val="00991731"/>
    <w:rsid w:val="009B7F05"/>
    <w:rsid w:val="009E2107"/>
    <w:rsid w:val="009F2963"/>
    <w:rsid w:val="00A32272"/>
    <w:rsid w:val="00AC004F"/>
    <w:rsid w:val="00AF36A9"/>
    <w:rsid w:val="00B477F7"/>
    <w:rsid w:val="00B64459"/>
    <w:rsid w:val="00B91B79"/>
    <w:rsid w:val="00BA4813"/>
    <w:rsid w:val="00BD4152"/>
    <w:rsid w:val="00C408D2"/>
    <w:rsid w:val="00CF707F"/>
    <w:rsid w:val="00D32B57"/>
    <w:rsid w:val="00D63F35"/>
    <w:rsid w:val="00D75672"/>
    <w:rsid w:val="00D86AE6"/>
    <w:rsid w:val="00DC511C"/>
    <w:rsid w:val="00E41419"/>
    <w:rsid w:val="00E51588"/>
    <w:rsid w:val="00E81A1C"/>
    <w:rsid w:val="00E868A9"/>
    <w:rsid w:val="00EA48A9"/>
    <w:rsid w:val="00EE10EF"/>
    <w:rsid w:val="00F21768"/>
    <w:rsid w:val="00F352FD"/>
    <w:rsid w:val="00F842BA"/>
    <w:rsid w:val="00F9601F"/>
    <w:rsid w:val="00FC406C"/>
    <w:rsid w:val="00FE7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2098</Words>
  <Characters>11963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upr_delami</cp:lastModifiedBy>
  <cp:revision>22</cp:revision>
  <cp:lastPrinted>2014-12-11T05:54:00Z</cp:lastPrinted>
  <dcterms:created xsi:type="dcterms:W3CDTF">2014-12-04T06:47:00Z</dcterms:created>
  <dcterms:modified xsi:type="dcterms:W3CDTF">2015-12-21T06:12:00Z</dcterms:modified>
</cp:coreProperties>
</file>